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ascii="宋体" w:hAnsi="宋体"/>
          <w:b/>
          <w:szCs w:val="21"/>
        </w:rPr>
      </w:pPr>
      <w:r>
        <w:rPr>
          <w:rFonts w:hint="eastAsia" w:ascii="宋体" w:hAnsi="宋体"/>
          <w:szCs w:val="21"/>
        </w:rPr>
        <w:t>附件1</w:t>
      </w:r>
      <w:r>
        <w:rPr>
          <w:rFonts w:ascii="宋体" w:hAnsi="宋体"/>
          <w:szCs w:val="21"/>
        </w:rPr>
        <w:t>：</w:t>
      </w:r>
    </w:p>
    <w:p>
      <w:pPr>
        <w:adjustRightInd w:val="0"/>
        <w:snapToGrid w:val="0"/>
        <w:spacing w:before="312" w:beforeLines="100" w:after="312" w:afterLines="100" w:line="400" w:lineRule="exact"/>
        <w:jc w:val="center"/>
        <w:rPr>
          <w:rFonts w:ascii="黑体" w:hAnsi="黑体" w:eastAsia="黑体"/>
          <w:b/>
          <w:sz w:val="32"/>
          <w:szCs w:val="30"/>
        </w:rPr>
      </w:pPr>
      <w:r>
        <w:rPr>
          <w:rFonts w:hint="eastAsia" w:ascii="黑体" w:hAnsi="黑体" w:eastAsia="黑体"/>
          <w:b/>
          <w:sz w:val="32"/>
          <w:szCs w:val="30"/>
        </w:rPr>
        <w:t>教育</w:t>
      </w:r>
      <w:r>
        <w:rPr>
          <w:rFonts w:ascii="黑体" w:hAnsi="黑体" w:eastAsia="黑体"/>
          <w:b/>
          <w:sz w:val="32"/>
          <w:szCs w:val="30"/>
        </w:rPr>
        <w:t>部关于招生工作的“30个不得”</w:t>
      </w:r>
    </w:p>
    <w:p>
      <w:pPr>
        <w:adjustRightInd w:val="0"/>
        <w:snapToGrid w:val="0"/>
        <w:spacing w:line="400" w:lineRule="exact"/>
        <w:ind w:firstLine="420" w:firstLineChars="200"/>
        <w:rPr>
          <w:rFonts w:ascii="宋体" w:hAnsi="宋体"/>
          <w:szCs w:val="21"/>
        </w:rPr>
      </w:pPr>
      <w:r>
        <w:rPr>
          <w:rFonts w:hint="eastAsia" w:ascii="宋体" w:hAnsi="宋体"/>
          <w:szCs w:val="21"/>
        </w:rPr>
        <w:t>1、各省级高校招生委员会、教育行政部门不得出台含有违规“点招”录取等与国家招生政策相抵触的招生办法；</w:t>
      </w:r>
    </w:p>
    <w:p>
      <w:pPr>
        <w:adjustRightInd w:val="0"/>
        <w:snapToGrid w:val="0"/>
        <w:spacing w:line="400" w:lineRule="exact"/>
        <w:ind w:firstLine="420" w:firstLineChars="200"/>
        <w:rPr>
          <w:rFonts w:ascii="宋体" w:hAnsi="宋体"/>
          <w:szCs w:val="21"/>
        </w:rPr>
      </w:pPr>
      <w:r>
        <w:rPr>
          <w:rFonts w:hint="eastAsia" w:ascii="宋体" w:hAnsi="宋体"/>
          <w:szCs w:val="21"/>
        </w:rPr>
        <w:t>2、不得超越职权制定招生办法或照顾优惠政策；</w:t>
      </w:r>
    </w:p>
    <w:p>
      <w:pPr>
        <w:adjustRightInd w:val="0"/>
        <w:snapToGrid w:val="0"/>
        <w:spacing w:line="400" w:lineRule="exact"/>
        <w:ind w:firstLine="420" w:firstLineChars="200"/>
        <w:rPr>
          <w:rFonts w:ascii="宋体" w:hAnsi="宋体"/>
          <w:szCs w:val="21"/>
        </w:rPr>
      </w:pPr>
      <w:r>
        <w:rPr>
          <w:rFonts w:hint="eastAsia" w:ascii="宋体" w:hAnsi="宋体"/>
          <w:szCs w:val="21"/>
        </w:rPr>
        <w:t>3、不得擅自扩大高校招生规模或调整高校招生计划；</w:t>
      </w:r>
    </w:p>
    <w:p>
      <w:pPr>
        <w:adjustRightInd w:val="0"/>
        <w:snapToGrid w:val="0"/>
        <w:spacing w:line="400" w:lineRule="exact"/>
        <w:ind w:firstLine="420" w:firstLineChars="200"/>
        <w:rPr>
          <w:rFonts w:ascii="宋体" w:hAnsi="宋体"/>
          <w:szCs w:val="21"/>
        </w:rPr>
      </w:pPr>
      <w:r>
        <w:rPr>
          <w:rFonts w:hint="eastAsia" w:ascii="宋体" w:hAnsi="宋体"/>
          <w:szCs w:val="21"/>
        </w:rPr>
        <w:t>4、不得擅自调整自主招生、高水平运动队、高水平艺术团等特殊类型招生试点高校范围、招生计划和规定的项目范围；</w:t>
      </w:r>
    </w:p>
    <w:p>
      <w:pPr>
        <w:adjustRightInd w:val="0"/>
        <w:snapToGrid w:val="0"/>
        <w:spacing w:line="400" w:lineRule="exact"/>
        <w:ind w:firstLine="420" w:firstLineChars="200"/>
        <w:rPr>
          <w:rFonts w:ascii="宋体" w:hAnsi="宋体"/>
          <w:szCs w:val="21"/>
        </w:rPr>
      </w:pPr>
      <w:r>
        <w:rPr>
          <w:rFonts w:hint="eastAsia" w:ascii="宋体" w:hAnsi="宋体"/>
          <w:szCs w:val="21"/>
        </w:rPr>
        <w:t>5、不得划转计划委托任何军队院校招生。</w:t>
      </w:r>
    </w:p>
    <w:p>
      <w:pPr>
        <w:adjustRightInd w:val="0"/>
        <w:snapToGrid w:val="0"/>
        <w:spacing w:line="400" w:lineRule="exact"/>
        <w:ind w:firstLine="420" w:firstLineChars="200"/>
        <w:rPr>
          <w:rFonts w:ascii="宋体" w:hAnsi="宋体"/>
          <w:szCs w:val="21"/>
        </w:rPr>
      </w:pPr>
      <w:r>
        <w:rPr>
          <w:rFonts w:hint="eastAsia" w:ascii="宋体" w:hAnsi="宋体"/>
          <w:szCs w:val="21"/>
        </w:rPr>
        <w:t>6、省级招办不得违反投档工作程序或在政策之外降低标准向有关高校投放考生档案；</w:t>
      </w:r>
    </w:p>
    <w:p>
      <w:pPr>
        <w:adjustRightInd w:val="0"/>
        <w:snapToGrid w:val="0"/>
        <w:spacing w:line="400" w:lineRule="exact"/>
        <w:ind w:firstLine="420" w:firstLineChars="200"/>
        <w:rPr>
          <w:rFonts w:ascii="宋体" w:hAnsi="宋体"/>
          <w:szCs w:val="21"/>
        </w:rPr>
      </w:pPr>
      <w:r>
        <w:rPr>
          <w:rFonts w:hint="eastAsia" w:ascii="宋体" w:hAnsi="宋体"/>
          <w:szCs w:val="21"/>
        </w:rPr>
        <w:t>7、不得将未按要求进行公示的自主招生等特殊类型考生档案投放给高校或为高校办理录取手续；</w:t>
      </w:r>
    </w:p>
    <w:p>
      <w:pPr>
        <w:adjustRightInd w:val="0"/>
        <w:snapToGrid w:val="0"/>
        <w:spacing w:line="400" w:lineRule="exact"/>
        <w:ind w:firstLine="420" w:firstLineChars="200"/>
        <w:rPr>
          <w:rFonts w:ascii="宋体" w:hAnsi="宋体"/>
          <w:szCs w:val="21"/>
        </w:rPr>
      </w:pPr>
      <w:r>
        <w:rPr>
          <w:rFonts w:hint="eastAsia" w:ascii="宋体" w:hAnsi="宋体"/>
          <w:szCs w:val="21"/>
        </w:rPr>
        <w:t>8、不得擅自改变高校招生计划类型；</w:t>
      </w:r>
    </w:p>
    <w:p>
      <w:pPr>
        <w:adjustRightInd w:val="0"/>
        <w:snapToGrid w:val="0"/>
        <w:spacing w:line="400" w:lineRule="exact"/>
        <w:ind w:firstLine="420" w:firstLineChars="200"/>
        <w:rPr>
          <w:rFonts w:ascii="宋体" w:hAnsi="宋体"/>
          <w:szCs w:val="21"/>
        </w:rPr>
      </w:pPr>
      <w:r>
        <w:rPr>
          <w:rFonts w:hint="eastAsia" w:ascii="宋体" w:hAnsi="宋体"/>
          <w:szCs w:val="21"/>
        </w:rPr>
        <w:t>9、不得为无计划高校或擅自为高校突破招生计划办理录取手续；</w:t>
      </w:r>
    </w:p>
    <w:p>
      <w:pPr>
        <w:adjustRightInd w:val="0"/>
        <w:snapToGrid w:val="0"/>
        <w:spacing w:line="400" w:lineRule="exact"/>
        <w:ind w:firstLine="420" w:firstLineChars="200"/>
        <w:rPr>
          <w:rFonts w:ascii="宋体" w:hAnsi="宋体"/>
          <w:szCs w:val="21"/>
        </w:rPr>
      </w:pPr>
      <w:r>
        <w:rPr>
          <w:rFonts w:hint="eastAsia" w:ascii="宋体" w:hAnsi="宋体"/>
          <w:szCs w:val="21"/>
        </w:rPr>
        <w:t>10、不得对已录取考生违规变更录取学校和专业；</w:t>
      </w:r>
    </w:p>
    <w:p>
      <w:pPr>
        <w:adjustRightInd w:val="0"/>
        <w:snapToGrid w:val="0"/>
        <w:spacing w:line="400" w:lineRule="exact"/>
        <w:ind w:firstLine="420" w:firstLineChars="200"/>
        <w:rPr>
          <w:rFonts w:ascii="宋体" w:hAnsi="宋体"/>
          <w:szCs w:val="21"/>
        </w:rPr>
      </w:pPr>
      <w:r>
        <w:rPr>
          <w:rFonts w:hint="eastAsia" w:ascii="宋体" w:hAnsi="宋体"/>
          <w:szCs w:val="21"/>
        </w:rPr>
        <w:t>11、除国家特殊需要外不得在招生结束后违规组织特殊类型招生补录。</w:t>
      </w:r>
    </w:p>
    <w:p>
      <w:pPr>
        <w:adjustRightInd w:val="0"/>
        <w:snapToGrid w:val="0"/>
        <w:spacing w:line="400" w:lineRule="exact"/>
        <w:ind w:firstLine="420" w:firstLineChars="200"/>
        <w:rPr>
          <w:rFonts w:ascii="宋体" w:hAnsi="宋体"/>
          <w:szCs w:val="21"/>
        </w:rPr>
      </w:pPr>
      <w:r>
        <w:rPr>
          <w:rFonts w:hint="eastAsia" w:ascii="宋体" w:hAnsi="宋体"/>
          <w:szCs w:val="21"/>
        </w:rPr>
        <w:t>12、各高校不得发布未经主管部门备案的招生章程或者进行虚假招生宣传；</w:t>
      </w:r>
    </w:p>
    <w:p>
      <w:pPr>
        <w:adjustRightInd w:val="0"/>
        <w:snapToGrid w:val="0"/>
        <w:spacing w:line="400" w:lineRule="exact"/>
        <w:ind w:firstLine="420" w:firstLineChars="200"/>
        <w:rPr>
          <w:rFonts w:ascii="宋体" w:hAnsi="宋体"/>
          <w:szCs w:val="21"/>
        </w:rPr>
      </w:pPr>
      <w:r>
        <w:rPr>
          <w:rFonts w:hint="eastAsia" w:ascii="宋体" w:hAnsi="宋体"/>
          <w:szCs w:val="21"/>
        </w:rPr>
        <w:t>13、不得无计划或擅自突破计划规模进行招生或违反计划管理要求调整计划；</w:t>
      </w:r>
    </w:p>
    <w:p>
      <w:pPr>
        <w:adjustRightInd w:val="0"/>
        <w:snapToGrid w:val="0"/>
        <w:spacing w:line="400" w:lineRule="exact"/>
        <w:ind w:firstLine="420" w:firstLineChars="200"/>
        <w:rPr>
          <w:rFonts w:ascii="宋体" w:hAnsi="宋体"/>
          <w:szCs w:val="21"/>
        </w:rPr>
      </w:pPr>
      <w:r>
        <w:rPr>
          <w:rFonts w:hint="eastAsia" w:ascii="宋体" w:hAnsi="宋体"/>
          <w:szCs w:val="21"/>
        </w:rPr>
        <w:t>14、不得擅自规定男女生录取比例；</w:t>
      </w:r>
    </w:p>
    <w:p>
      <w:pPr>
        <w:adjustRightInd w:val="0"/>
        <w:snapToGrid w:val="0"/>
        <w:spacing w:line="400" w:lineRule="exact"/>
        <w:ind w:firstLine="420" w:firstLineChars="200"/>
        <w:rPr>
          <w:rFonts w:ascii="宋体" w:hAnsi="宋体"/>
          <w:szCs w:val="21"/>
        </w:rPr>
      </w:pPr>
      <w:r>
        <w:rPr>
          <w:rFonts w:hint="eastAsia" w:ascii="宋体" w:hAnsi="宋体"/>
          <w:szCs w:val="21"/>
        </w:rPr>
        <w:t>15、不得擅自扩大自主招生、高水平运动队、高水平艺术团等特殊类型招生规定的项目范围、招生计划；</w:t>
      </w:r>
    </w:p>
    <w:p>
      <w:pPr>
        <w:adjustRightInd w:val="0"/>
        <w:snapToGrid w:val="0"/>
        <w:spacing w:line="400" w:lineRule="exact"/>
        <w:ind w:firstLine="420" w:firstLineChars="200"/>
        <w:rPr>
          <w:rFonts w:ascii="宋体" w:hAnsi="宋体"/>
          <w:szCs w:val="21"/>
        </w:rPr>
      </w:pPr>
      <w:r>
        <w:rPr>
          <w:rFonts w:hint="eastAsia" w:ascii="宋体" w:hAnsi="宋体"/>
          <w:szCs w:val="21"/>
        </w:rPr>
        <w:t>16、不得违反规定的招生程序降低标准录取考生、拒绝录取符合条件的考生；</w:t>
      </w:r>
    </w:p>
    <w:p>
      <w:pPr>
        <w:adjustRightInd w:val="0"/>
        <w:snapToGrid w:val="0"/>
        <w:spacing w:line="400" w:lineRule="exact"/>
        <w:ind w:firstLine="420" w:firstLineChars="200"/>
        <w:rPr>
          <w:rFonts w:ascii="宋体" w:hAnsi="宋体"/>
          <w:szCs w:val="21"/>
        </w:rPr>
      </w:pPr>
      <w:r>
        <w:rPr>
          <w:rFonts w:hint="eastAsia" w:ascii="宋体" w:hAnsi="宋体"/>
          <w:szCs w:val="21"/>
        </w:rPr>
        <w:t>17、不得在特殊类型招生中变更经公示的考生入选专业、录取优惠分值或录取不具备条件的考生；</w:t>
      </w:r>
    </w:p>
    <w:p>
      <w:pPr>
        <w:adjustRightInd w:val="0"/>
        <w:snapToGrid w:val="0"/>
        <w:spacing w:line="400" w:lineRule="exact"/>
        <w:ind w:firstLine="420" w:firstLineChars="200"/>
        <w:rPr>
          <w:rFonts w:ascii="宋体" w:hAnsi="宋体"/>
          <w:szCs w:val="21"/>
        </w:rPr>
      </w:pPr>
      <w:r>
        <w:rPr>
          <w:rFonts w:hint="eastAsia" w:ascii="宋体" w:hAnsi="宋体"/>
          <w:szCs w:val="21"/>
        </w:rPr>
        <w:t>18、不得在发放新生录取通知书和新生入学报到环节更改考生录取专业；</w:t>
      </w:r>
    </w:p>
    <w:p>
      <w:pPr>
        <w:adjustRightInd w:val="0"/>
        <w:snapToGrid w:val="0"/>
        <w:spacing w:line="400" w:lineRule="exact"/>
        <w:ind w:firstLine="420" w:firstLineChars="200"/>
        <w:rPr>
          <w:rFonts w:ascii="宋体" w:hAnsi="宋体"/>
          <w:szCs w:val="21"/>
        </w:rPr>
      </w:pPr>
      <w:r>
        <w:rPr>
          <w:rFonts w:hint="eastAsia" w:ascii="宋体" w:hAnsi="宋体"/>
          <w:szCs w:val="21"/>
        </w:rPr>
        <w:t>19、不得在新生入学后将艺术类、体育类专业学生调整到普通类专业或将外国语中学推荐保送录取的学生调整到非外语类专业；</w:t>
      </w:r>
    </w:p>
    <w:p>
      <w:pPr>
        <w:adjustRightInd w:val="0"/>
        <w:snapToGrid w:val="0"/>
        <w:spacing w:line="400" w:lineRule="exact"/>
        <w:ind w:firstLine="420" w:firstLineChars="200"/>
        <w:rPr>
          <w:rFonts w:ascii="宋体" w:hAnsi="宋体"/>
          <w:szCs w:val="21"/>
        </w:rPr>
      </w:pPr>
      <w:r>
        <w:rPr>
          <w:rFonts w:hint="eastAsia" w:ascii="宋体" w:hAnsi="宋体"/>
          <w:szCs w:val="21"/>
        </w:rPr>
        <w:t>20、不得在录取工作结束前以各种方式向考生违规承诺录取或以“签订预录取协议”“新生高额奖学金”“入校后重新选择专业”等方式恶性抢夺生源；</w:t>
      </w:r>
    </w:p>
    <w:p>
      <w:pPr>
        <w:adjustRightInd w:val="0"/>
        <w:snapToGrid w:val="0"/>
        <w:spacing w:line="400" w:lineRule="exact"/>
        <w:ind w:firstLine="420" w:firstLineChars="200"/>
        <w:rPr>
          <w:rFonts w:ascii="宋体" w:hAnsi="宋体"/>
          <w:szCs w:val="21"/>
        </w:rPr>
      </w:pPr>
      <w:r>
        <w:rPr>
          <w:rFonts w:hint="eastAsia" w:ascii="宋体" w:hAnsi="宋体"/>
          <w:szCs w:val="21"/>
        </w:rPr>
        <w:t>21、不得向中学、考生及家长收取礼金、礼品、有价证券或与招生挂钩的任何费用；</w:t>
      </w:r>
    </w:p>
    <w:p>
      <w:pPr>
        <w:adjustRightInd w:val="0"/>
        <w:snapToGrid w:val="0"/>
        <w:spacing w:line="400" w:lineRule="exact"/>
        <w:ind w:firstLine="420" w:firstLineChars="200"/>
        <w:rPr>
          <w:rFonts w:ascii="宋体" w:hAnsi="宋体"/>
          <w:szCs w:val="21"/>
        </w:rPr>
      </w:pPr>
      <w:r>
        <w:rPr>
          <w:rFonts w:hint="eastAsia" w:ascii="宋体" w:hAnsi="宋体"/>
          <w:szCs w:val="21"/>
        </w:rPr>
        <w:t>22、不得避开省级招办通过中介机构或学校教师等自行组织生源违规录取考生；</w:t>
      </w:r>
    </w:p>
    <w:p>
      <w:pPr>
        <w:adjustRightInd w:val="0"/>
        <w:snapToGrid w:val="0"/>
        <w:spacing w:line="400" w:lineRule="exact"/>
        <w:ind w:firstLine="420" w:firstLineChars="200"/>
        <w:rPr>
          <w:rFonts w:ascii="宋体" w:hAnsi="宋体"/>
          <w:szCs w:val="21"/>
        </w:rPr>
      </w:pPr>
      <w:r>
        <w:rPr>
          <w:rFonts w:hint="eastAsia" w:ascii="宋体" w:hAnsi="宋体"/>
          <w:szCs w:val="21"/>
        </w:rPr>
        <w:t>23、不得在单独考试、综合评价等高职分类考试招生中组织不符合本地高考报名条件的外省生源。</w:t>
      </w:r>
    </w:p>
    <w:p>
      <w:pPr>
        <w:adjustRightInd w:val="0"/>
        <w:snapToGrid w:val="0"/>
        <w:spacing w:line="400" w:lineRule="exact"/>
        <w:ind w:firstLine="420" w:firstLineChars="200"/>
        <w:rPr>
          <w:rFonts w:ascii="宋体" w:hAnsi="宋体"/>
          <w:szCs w:val="21"/>
        </w:rPr>
      </w:pPr>
      <w:r>
        <w:rPr>
          <w:rFonts w:hint="eastAsia" w:ascii="宋体" w:hAnsi="宋体"/>
          <w:szCs w:val="21"/>
        </w:rPr>
        <w:t>24、自主招生试点高校不得在高考前以任何形式开展与自主招生挂钩的考核活动。</w:t>
      </w:r>
    </w:p>
    <w:p>
      <w:pPr>
        <w:adjustRightInd w:val="0"/>
        <w:snapToGrid w:val="0"/>
        <w:spacing w:line="400" w:lineRule="exact"/>
        <w:ind w:firstLine="420" w:firstLineChars="200"/>
        <w:rPr>
          <w:rFonts w:ascii="宋体" w:hAnsi="宋体"/>
          <w:szCs w:val="21"/>
        </w:rPr>
      </w:pPr>
      <w:r>
        <w:rPr>
          <w:rFonts w:hint="eastAsia" w:ascii="宋体" w:hAnsi="宋体"/>
          <w:szCs w:val="21"/>
        </w:rPr>
        <w:t>25、开展特殊类型招生的高校不得委托个人或中介组织开展特殊类型考试招生有关工作，或将审核、考试、选拔等工作下放至学校内设学院（系、部等部门）独立负责；</w:t>
      </w:r>
    </w:p>
    <w:p>
      <w:pPr>
        <w:adjustRightInd w:val="0"/>
        <w:snapToGrid w:val="0"/>
        <w:spacing w:line="400" w:lineRule="exact"/>
        <w:ind w:firstLine="420" w:firstLineChars="200"/>
        <w:rPr>
          <w:rFonts w:ascii="宋体" w:hAnsi="宋体"/>
          <w:szCs w:val="21"/>
        </w:rPr>
      </w:pPr>
      <w:r>
        <w:rPr>
          <w:rFonts w:hint="eastAsia" w:ascii="宋体" w:hAnsi="宋体"/>
          <w:szCs w:val="21"/>
        </w:rPr>
        <w:t>26、不得未经考核发放专业合格证或圈定合格名单；</w:t>
      </w:r>
    </w:p>
    <w:p>
      <w:pPr>
        <w:adjustRightInd w:val="0"/>
        <w:snapToGrid w:val="0"/>
        <w:spacing w:line="400" w:lineRule="exact"/>
        <w:ind w:firstLine="420" w:firstLineChars="200"/>
        <w:rPr>
          <w:rFonts w:ascii="宋体" w:hAnsi="宋体"/>
          <w:szCs w:val="21"/>
        </w:rPr>
      </w:pPr>
      <w:r>
        <w:rPr>
          <w:rFonts w:hint="eastAsia" w:ascii="宋体" w:hAnsi="宋体"/>
          <w:szCs w:val="21"/>
        </w:rPr>
        <w:t>27、高校、内设学院（系、部等）及教职工不得组织或参与考前辅导、应试培训。</w:t>
      </w:r>
    </w:p>
    <w:p>
      <w:pPr>
        <w:adjustRightInd w:val="0"/>
        <w:snapToGrid w:val="0"/>
        <w:spacing w:line="400" w:lineRule="exact"/>
        <w:ind w:firstLine="420" w:firstLineChars="200"/>
        <w:rPr>
          <w:rFonts w:ascii="宋体" w:hAnsi="宋体"/>
          <w:szCs w:val="21"/>
        </w:rPr>
      </w:pPr>
      <w:r>
        <w:rPr>
          <w:rFonts w:hint="eastAsia" w:ascii="宋体" w:hAnsi="宋体"/>
          <w:szCs w:val="21"/>
        </w:rPr>
        <w:t>28、高中教育阶段学校和教师不得代替或干预考生填报高考志愿；</w:t>
      </w:r>
    </w:p>
    <w:p>
      <w:pPr>
        <w:adjustRightInd w:val="0"/>
        <w:snapToGrid w:val="0"/>
        <w:spacing w:line="400" w:lineRule="exact"/>
        <w:ind w:firstLine="420" w:firstLineChars="200"/>
        <w:rPr>
          <w:rFonts w:ascii="宋体" w:hAnsi="宋体"/>
          <w:szCs w:val="21"/>
        </w:rPr>
      </w:pPr>
      <w:r>
        <w:rPr>
          <w:rFonts w:hint="eastAsia" w:ascii="宋体" w:hAnsi="宋体"/>
          <w:szCs w:val="21"/>
        </w:rPr>
        <w:t>29、不得以任何名义向高校收取与招生挂钩的任何费用；</w:t>
      </w:r>
    </w:p>
    <w:p>
      <w:pPr>
        <w:adjustRightInd w:val="0"/>
        <w:snapToGrid w:val="0"/>
        <w:spacing w:line="400" w:lineRule="exact"/>
        <w:ind w:firstLine="420" w:firstLineChars="200"/>
        <w:rPr>
          <w:rFonts w:ascii="宋体" w:hAnsi="宋体"/>
          <w:szCs w:val="21"/>
        </w:rPr>
      </w:pPr>
      <w:r>
        <w:rPr>
          <w:rFonts w:hint="eastAsia" w:ascii="宋体" w:hAnsi="宋体"/>
          <w:szCs w:val="21"/>
        </w:rPr>
        <w:t>30、不得出具与事实不符的考生推荐材料、证明材料等或在考生综合素质档案中虚构事实或故意隐瞒事实。</w:t>
      </w:r>
    </w:p>
    <w:p>
      <w:pPr>
        <w:widowControl/>
        <w:adjustRightInd w:val="0"/>
        <w:snapToGrid w:val="0"/>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jc w:val="left"/>
        <w:rPr>
          <w:rFonts w:ascii="宋体" w:hAnsi="宋体"/>
          <w:szCs w:val="21"/>
        </w:rPr>
      </w:pPr>
      <w:r>
        <w:rPr>
          <w:rFonts w:ascii="宋体" w:hAnsi="宋体"/>
          <w:szCs w:val="21"/>
        </w:rPr>
        <w:br w:type="page"/>
      </w:r>
    </w:p>
    <w:p>
      <w:pPr>
        <w:adjustRightInd w:val="0"/>
        <w:snapToGrid w:val="0"/>
        <w:spacing w:line="400" w:lineRule="exact"/>
        <w:rPr>
          <w:rFonts w:ascii="宋体" w:hAnsi="宋体"/>
          <w:szCs w:val="21"/>
        </w:rPr>
      </w:pPr>
      <w:r>
        <w:rPr>
          <w:rFonts w:hint="eastAsia" w:ascii="宋体" w:hAnsi="宋体"/>
          <w:szCs w:val="21"/>
        </w:rPr>
        <w:t>附件2</w:t>
      </w:r>
      <w:r>
        <w:rPr>
          <w:rFonts w:ascii="宋体" w:hAnsi="宋体"/>
          <w:szCs w:val="21"/>
        </w:rPr>
        <w:t>：</w:t>
      </w:r>
    </w:p>
    <w:p>
      <w:pPr>
        <w:adjustRightInd w:val="0"/>
        <w:snapToGrid w:val="0"/>
        <w:spacing w:before="312" w:beforeLines="100" w:after="312" w:afterLines="100" w:line="400" w:lineRule="exact"/>
        <w:jc w:val="center"/>
        <w:rPr>
          <w:rFonts w:ascii="黑体" w:hAnsi="黑体" w:eastAsia="黑体"/>
          <w:b/>
          <w:sz w:val="32"/>
          <w:szCs w:val="30"/>
        </w:rPr>
      </w:pPr>
      <w:r>
        <w:rPr>
          <w:rFonts w:hint="eastAsia" w:ascii="黑体" w:hAnsi="黑体" w:eastAsia="黑体"/>
          <w:b/>
          <w:sz w:val="32"/>
          <w:szCs w:val="30"/>
        </w:rPr>
        <w:t>教育部招生工作“十公开”纪律要求</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招生政策公开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高校招生资格公开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高校招生章程公开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高校招生计划公开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考生资格公开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录取程序公开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录取结果公开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咨询及申诉渠道公开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重大违规事件及处理结果公开</w:t>
      </w:r>
    </w:p>
    <w:p>
      <w:pPr>
        <w:pStyle w:val="4"/>
        <w:numPr>
          <w:ilvl w:val="0"/>
          <w:numId w:val="1"/>
        </w:numPr>
        <w:adjustRightInd w:val="0"/>
        <w:snapToGrid w:val="0"/>
        <w:spacing w:line="400" w:lineRule="exact"/>
        <w:ind w:left="0" w:firstLine="420"/>
        <w:rPr>
          <w:rFonts w:ascii="宋体" w:hAnsi="宋体"/>
          <w:szCs w:val="21"/>
        </w:rPr>
      </w:pPr>
      <w:r>
        <w:rPr>
          <w:rFonts w:hint="eastAsia" w:ascii="宋体" w:hAnsi="宋体"/>
          <w:szCs w:val="21"/>
        </w:rPr>
        <w:t>录取新生复查结果公开</w:t>
      </w:r>
    </w:p>
    <w:p>
      <w:pPr>
        <w:widowControl/>
        <w:adjustRightInd w:val="0"/>
        <w:snapToGrid w:val="0"/>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spacing w:line="400" w:lineRule="exact"/>
        <w:ind w:firstLine="420" w:firstLineChars="200"/>
        <w:rPr>
          <w:rFonts w:ascii="宋体" w:hAnsi="宋体"/>
          <w:szCs w:val="21"/>
        </w:rPr>
      </w:pPr>
    </w:p>
    <w:p>
      <w:pPr>
        <w:widowControl/>
        <w:jc w:val="left"/>
        <w:rPr>
          <w:rFonts w:ascii="宋体" w:hAnsi="宋体"/>
          <w:szCs w:val="21"/>
        </w:rPr>
      </w:pPr>
      <w:r>
        <w:rPr>
          <w:rFonts w:ascii="宋体" w:hAnsi="宋体"/>
          <w:szCs w:val="21"/>
        </w:rPr>
        <w:br w:type="page"/>
      </w:r>
    </w:p>
    <w:p>
      <w:pPr>
        <w:widowControl/>
        <w:adjustRightInd w:val="0"/>
        <w:snapToGrid w:val="0"/>
        <w:spacing w:line="400" w:lineRule="exact"/>
        <w:rPr>
          <w:rFonts w:ascii="宋体" w:hAnsi="宋体"/>
          <w:szCs w:val="21"/>
        </w:rPr>
      </w:pPr>
      <w:r>
        <w:rPr>
          <w:rFonts w:hint="eastAsia" w:ascii="宋体" w:hAnsi="宋体"/>
          <w:szCs w:val="21"/>
        </w:rPr>
        <w:t>附件</w:t>
      </w:r>
      <w:r>
        <w:rPr>
          <w:rFonts w:ascii="宋体" w:hAnsi="宋体"/>
          <w:szCs w:val="21"/>
        </w:rPr>
        <w:t>3：</w:t>
      </w:r>
    </w:p>
    <w:p>
      <w:pPr>
        <w:adjustRightInd w:val="0"/>
        <w:snapToGrid w:val="0"/>
        <w:spacing w:before="312" w:beforeLines="100" w:after="312" w:afterLines="100" w:line="400" w:lineRule="exact"/>
        <w:jc w:val="center"/>
        <w:rPr>
          <w:rFonts w:ascii="黑体" w:hAnsi="黑体" w:eastAsia="黑体"/>
          <w:b/>
          <w:sz w:val="32"/>
          <w:szCs w:val="30"/>
        </w:rPr>
      </w:pPr>
      <w:r>
        <w:rPr>
          <w:rFonts w:hint="eastAsia" w:ascii="黑体" w:hAnsi="黑体" w:eastAsia="黑体"/>
          <w:b/>
          <w:sz w:val="32"/>
          <w:szCs w:val="30"/>
        </w:rPr>
        <w:t>安徽省教育厅、监察厅四大举措加强高校招生工作纪律</w:t>
      </w:r>
    </w:p>
    <w:p>
      <w:pPr>
        <w:adjustRightInd w:val="0"/>
        <w:snapToGrid w:val="0"/>
        <w:spacing w:before="312" w:beforeLines="100" w:after="312" w:afterLines="100" w:line="400" w:lineRule="exact"/>
        <w:jc w:val="center"/>
        <w:rPr>
          <w:rFonts w:ascii="黑体" w:hAnsi="黑体" w:eastAsia="黑体"/>
          <w:b/>
          <w:sz w:val="30"/>
          <w:szCs w:val="30"/>
        </w:rPr>
      </w:pPr>
      <w:r>
        <w:rPr>
          <w:rFonts w:ascii="黑体" w:hAnsi="黑体" w:eastAsia="黑体"/>
          <w:bCs/>
          <w:sz w:val="30"/>
          <w:szCs w:val="30"/>
        </w:rPr>
        <w:t xml:space="preserve">推进阳光工程 完善监督机制 加大查处力度 落实责任追究 </w:t>
      </w:r>
      <w:r>
        <w:rPr>
          <w:rFonts w:ascii="黑体" w:hAnsi="黑体" w:eastAsia="黑体"/>
          <w:b/>
          <w:sz w:val="30"/>
          <w:szCs w:val="30"/>
        </w:rPr>
        <w:br w:type="textWrapping"/>
      </w:r>
      <w:r>
        <w:rPr>
          <w:rFonts w:ascii="黑体" w:hAnsi="黑体" w:eastAsia="黑体"/>
          <w:bCs/>
          <w:sz w:val="30"/>
          <w:szCs w:val="30"/>
        </w:rPr>
        <w:t>省教育厅、监察厅四大举措加强高校招生工作纪律</w:t>
      </w:r>
    </w:p>
    <w:p>
      <w:pPr>
        <w:adjustRightInd w:val="0"/>
        <w:snapToGrid w:val="0"/>
        <w:spacing w:line="400" w:lineRule="exact"/>
        <w:ind w:firstLine="420" w:firstLineChars="200"/>
        <w:jc w:val="left"/>
        <w:rPr>
          <w:rFonts w:ascii="宋体" w:hAnsi="宋体"/>
          <w:szCs w:val="21"/>
        </w:rPr>
      </w:pPr>
      <w:r>
        <w:rPr>
          <w:rFonts w:ascii="宋体" w:hAnsi="宋体"/>
          <w:szCs w:val="21"/>
        </w:rPr>
        <w:t>全省普通高校招生录取工作即将全面展开。经省政府同意，省教育厅、监察厅联合发出通知，出台四项举措，进一步加强高校招生工作纪律。</w:t>
      </w:r>
    </w:p>
    <w:p>
      <w:pPr>
        <w:adjustRightInd w:val="0"/>
        <w:snapToGrid w:val="0"/>
        <w:spacing w:line="400" w:lineRule="exact"/>
        <w:ind w:firstLine="420" w:firstLineChars="200"/>
        <w:jc w:val="left"/>
        <w:rPr>
          <w:rFonts w:ascii="宋体" w:hAnsi="宋体"/>
          <w:szCs w:val="21"/>
        </w:rPr>
      </w:pPr>
      <w:r>
        <w:rPr>
          <w:rFonts w:ascii="宋体" w:hAnsi="宋体"/>
          <w:szCs w:val="21"/>
        </w:rPr>
        <w:t>一是进一步深入推进“阳光工程”。通知指出，要按照“阳光工程”“六公开”、“六不准”要求，加大招生信息的公开宣传和数据技术保障工作力度，完善公开透明的招生工作体系，及时、准确地向考生公开、公示或提供查询有关录取政策、录取状态、录取结果等信息。</w:t>
      </w:r>
    </w:p>
    <w:p>
      <w:pPr>
        <w:adjustRightInd w:val="0"/>
        <w:snapToGrid w:val="0"/>
        <w:spacing w:line="400" w:lineRule="exact"/>
        <w:ind w:firstLine="420" w:firstLineChars="200"/>
        <w:jc w:val="left"/>
        <w:rPr>
          <w:rFonts w:ascii="宋体" w:hAnsi="宋体"/>
          <w:szCs w:val="21"/>
        </w:rPr>
      </w:pPr>
      <w:r>
        <w:rPr>
          <w:rFonts w:ascii="宋体" w:hAnsi="宋体"/>
          <w:szCs w:val="21"/>
        </w:rPr>
        <w:t>二是建立和完善高校招生工作的监督制约机制。要进一步加大从源头防治腐败的工作力度，把廉政建设的各项要求融入有关招生制度、政策和措施之中，建立健全能够及时发现隐患、有效纠正过错的机制。各高校要在新生入学后加强新生入学复查工作。</w:t>
      </w:r>
    </w:p>
    <w:p>
      <w:pPr>
        <w:adjustRightInd w:val="0"/>
        <w:snapToGrid w:val="0"/>
        <w:spacing w:line="400" w:lineRule="exact"/>
        <w:ind w:firstLine="420" w:firstLineChars="200"/>
        <w:jc w:val="left"/>
        <w:rPr>
          <w:rFonts w:ascii="宋体" w:hAnsi="宋体"/>
          <w:szCs w:val="21"/>
        </w:rPr>
      </w:pPr>
      <w:r>
        <w:rPr>
          <w:rFonts w:ascii="宋体" w:hAnsi="宋体"/>
          <w:szCs w:val="21"/>
        </w:rPr>
        <w:t>三是严禁任何个人和中介机构组织参与招生，严禁直接或变相收取与录取挂钩的费用，严禁虚假招生宣传和违规录取考生，加大防范高校“体制外”招生工作力度，积极配合公安部门打击招生诈骗活动，决不姑息迁就。构成犯罪的，及时移送司法机关，追究刑事责任。</w:t>
      </w:r>
    </w:p>
    <w:p>
      <w:pPr>
        <w:adjustRightInd w:val="0"/>
        <w:snapToGrid w:val="0"/>
        <w:spacing w:line="400" w:lineRule="exact"/>
        <w:ind w:firstLine="420" w:firstLineChars="200"/>
        <w:jc w:val="left"/>
        <w:rPr>
          <w:rFonts w:ascii="宋体" w:hAnsi="宋体"/>
          <w:szCs w:val="21"/>
        </w:rPr>
      </w:pPr>
      <w:r>
        <w:rPr>
          <w:rFonts w:ascii="宋体" w:hAnsi="宋体"/>
          <w:szCs w:val="21"/>
        </w:rPr>
        <w:t>四是进一步落实高校招生工作责任制和责任追究制度。各级政府对本地区高校招生工作及违纪违法案件的查处负有领导和组织协调的责任。各级教育行政部门、招生机构和高校要坚决防止和纠正招生工作中的违规违纪行为，并积极配合和认真做好对违规违纪案件的查处工作。各级监察部门要认真履行对高校招生工作的监督检查和违纪违法案件查处的职责。对监督不力或瞒案不报、压案不查、查处不力的，除追究有关部门领导的责任外，还要追究监察等执纪执法部门的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B794B"/>
    <w:multiLevelType w:val="multilevel"/>
    <w:tmpl w:val="5A6B794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B59C1"/>
    <w:rsid w:val="3FDB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2021-02-25T01:25:00Z</dcterms:created>
  <dc:creator>大学生就业创业协会</dc:creator>
  <cp:lastModifiedBy>大学生就业创业协会</cp:lastModifiedBy>
  <dcterms:modified xsi:type="dcterms:W3CDTF">2021-02-25T01:26:04Z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689716EA08B04C08A8E70BEE64C2742C</vt:lpwstr>
  </property>
</Properties>
</file>